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DC4" w:rsidRPr="00A90DC4" w:rsidRDefault="00A90DC4" w:rsidP="00A90DC4">
      <w:pPr>
        <w:shd w:val="clear" w:color="auto" w:fill="FFFFFF"/>
        <w:spacing w:after="0" w:line="240" w:lineRule="auto"/>
        <w:rPr>
          <w:rFonts w:ascii="Arial CYR" w:eastAsia="Times New Roman" w:hAnsi="Arial CYR" w:cs="Arial CYR"/>
          <w:color w:val="031E3B"/>
          <w:sz w:val="24"/>
          <w:szCs w:val="24"/>
          <w:lang w:eastAsia="ru-RU"/>
        </w:rPr>
      </w:pPr>
      <w:r w:rsidRPr="00A90DC4">
        <w:rPr>
          <w:rFonts w:ascii="Arial CYR" w:eastAsia="Times New Roman" w:hAnsi="Arial CYR" w:cs="Arial CYR"/>
          <w:b/>
          <w:bCs/>
          <w:color w:val="031E3B"/>
          <w:sz w:val="24"/>
          <w:szCs w:val="24"/>
          <w:lang w:eastAsia="ru-RU"/>
        </w:rPr>
        <w:t>Европейский банк реконструкции и развития (ЕБРР) </w:t>
      </w:r>
      <w:r w:rsidRPr="00A90DC4">
        <w:rPr>
          <w:rFonts w:ascii="Arial CYR" w:eastAsia="Times New Roman" w:hAnsi="Arial CYR" w:cs="Arial CYR"/>
          <w:color w:val="031E3B"/>
          <w:sz w:val="24"/>
          <w:szCs w:val="24"/>
          <w:lang w:eastAsia="ru-RU"/>
        </w:rPr>
        <w:t>— инвестиционный механизм, созданный в 1991 60 странами и двумя международными организациями для поддержки рыночной экономики и "демократии" в 27 странах — от Центральной Европы до Центральной Азии.</w:t>
      </w:r>
      <w:r w:rsidRPr="00A90DC4">
        <w:rPr>
          <w:rFonts w:ascii="Arial CYR" w:eastAsia="Times New Roman" w:hAnsi="Arial CYR" w:cs="Arial CYR"/>
          <w:color w:val="031E3B"/>
          <w:sz w:val="24"/>
          <w:szCs w:val="24"/>
          <w:lang w:eastAsia="ru-RU"/>
        </w:rPr>
        <w:br/>
        <w:t>ЕБРР является крупнейшим инвестором в европейском и центрально-азиатском регионе, и помимо выделения своих средств, привлекает значительные объемы прямых иностранных инвестиций.</w:t>
      </w:r>
      <w:r w:rsidRPr="00A90DC4">
        <w:rPr>
          <w:rFonts w:ascii="Arial CYR" w:eastAsia="Times New Roman" w:hAnsi="Arial CYR" w:cs="Arial CYR"/>
          <w:color w:val="031E3B"/>
          <w:sz w:val="24"/>
          <w:szCs w:val="24"/>
          <w:lang w:eastAsia="ru-RU"/>
        </w:rPr>
        <w:br/>
        <w:t xml:space="preserve">Он осуществляет проектное финансирование банков, предприятий и компаний, вкладывая </w:t>
      </w:r>
      <w:proofErr w:type="gramStart"/>
      <w:r w:rsidRPr="00A90DC4">
        <w:rPr>
          <w:rFonts w:ascii="Arial CYR" w:eastAsia="Times New Roman" w:hAnsi="Arial CYR" w:cs="Arial CYR"/>
          <w:color w:val="031E3B"/>
          <w:sz w:val="24"/>
          <w:szCs w:val="24"/>
          <w:lang w:eastAsia="ru-RU"/>
        </w:rPr>
        <w:t>средства</w:t>
      </w:r>
      <w:proofErr w:type="gramEnd"/>
      <w:r w:rsidRPr="00A90DC4">
        <w:rPr>
          <w:rFonts w:ascii="Arial CYR" w:eastAsia="Times New Roman" w:hAnsi="Arial CYR" w:cs="Arial CYR"/>
          <w:color w:val="031E3B"/>
          <w:sz w:val="24"/>
          <w:szCs w:val="24"/>
          <w:lang w:eastAsia="ru-RU"/>
        </w:rPr>
        <w:t xml:space="preserve"> как в новые производства, так и в действующие фирмы. Европейский Банк Реконструкции и Развития работает с государственными компаниями в целях поддержки процессов приватизации и структурной реорганизации на них, а также совершенствования коммунального хозяйства. ЕБРР использует установившиеся у него тесные связи с правительствами стран региона, в целях реализации курса на создание благоприятных условий для предпринимательской деятельности. Для упрощения понимания содержания бизнес-плана, ЕБРР разработала свою структуру бизнес-плана, которая выглядит следующим образом:</w:t>
      </w:r>
    </w:p>
    <w:p w:rsidR="00A90DC4" w:rsidRPr="00A90DC4" w:rsidRDefault="00A90DC4" w:rsidP="00A90DC4">
      <w:pPr>
        <w:shd w:val="clear" w:color="auto" w:fill="FFFFFF"/>
        <w:spacing w:after="0" w:line="240" w:lineRule="auto"/>
        <w:rPr>
          <w:rFonts w:ascii="Arial CYR" w:eastAsia="Times New Roman" w:hAnsi="Arial CYR" w:cs="Arial CYR"/>
          <w:color w:val="031E3B"/>
          <w:sz w:val="24"/>
          <w:szCs w:val="24"/>
          <w:lang w:eastAsia="ru-RU"/>
        </w:rPr>
      </w:pPr>
      <w:r w:rsidRPr="00A90DC4">
        <w:rPr>
          <w:rFonts w:ascii="Arial CYR" w:eastAsia="Times New Roman" w:hAnsi="Arial CYR" w:cs="Arial CYR"/>
          <w:b/>
          <w:bCs/>
          <w:color w:val="031E3B"/>
          <w:sz w:val="24"/>
          <w:szCs w:val="24"/>
          <w:lang w:eastAsia="ru-RU"/>
        </w:rPr>
        <w:t>1. Титульный лист </w:t>
      </w:r>
      <w:r w:rsidRPr="00A90DC4">
        <w:rPr>
          <w:rFonts w:ascii="Arial CYR" w:eastAsia="Times New Roman" w:hAnsi="Arial CYR" w:cs="Arial CYR"/>
          <w:b/>
          <w:bCs/>
          <w:color w:val="031E3B"/>
          <w:sz w:val="24"/>
          <w:szCs w:val="24"/>
          <w:lang w:eastAsia="ru-RU"/>
        </w:rPr>
        <w:br/>
        <w:t>2. Меморандум о конфиденциальности </w:t>
      </w:r>
      <w:r w:rsidRPr="00A90DC4">
        <w:rPr>
          <w:rFonts w:ascii="Arial CYR" w:eastAsia="Times New Roman" w:hAnsi="Arial CYR" w:cs="Arial CYR"/>
          <w:b/>
          <w:bCs/>
          <w:color w:val="031E3B"/>
          <w:sz w:val="24"/>
          <w:szCs w:val="24"/>
          <w:lang w:eastAsia="ru-RU"/>
        </w:rPr>
        <w:br/>
        <w:t>3. Резюме </w:t>
      </w:r>
      <w:r w:rsidRPr="00A90DC4">
        <w:rPr>
          <w:rFonts w:ascii="Arial CYR" w:eastAsia="Times New Roman" w:hAnsi="Arial CYR" w:cs="Arial CYR"/>
          <w:b/>
          <w:bCs/>
          <w:color w:val="031E3B"/>
          <w:sz w:val="24"/>
          <w:szCs w:val="24"/>
          <w:lang w:eastAsia="ru-RU"/>
        </w:rPr>
        <w:br/>
        <w:t>4. Предприятие </w:t>
      </w:r>
      <w:r w:rsidRPr="00A90DC4">
        <w:rPr>
          <w:rFonts w:ascii="Arial CYR" w:eastAsia="Times New Roman" w:hAnsi="Arial CYR" w:cs="Arial CYR"/>
          <w:color w:val="031E3B"/>
          <w:sz w:val="24"/>
          <w:szCs w:val="24"/>
          <w:lang w:eastAsia="ru-RU"/>
        </w:rPr>
        <w:br/>
        <w:t>4.1. История развития предприятия и его состояние на момент создания бизнес-плана, описание текущей деятельности </w:t>
      </w:r>
      <w:r w:rsidRPr="00A90DC4">
        <w:rPr>
          <w:rFonts w:ascii="Arial CYR" w:eastAsia="Times New Roman" w:hAnsi="Arial CYR" w:cs="Arial CYR"/>
          <w:color w:val="031E3B"/>
          <w:sz w:val="24"/>
          <w:szCs w:val="24"/>
          <w:lang w:eastAsia="ru-RU"/>
        </w:rPr>
        <w:br/>
        <w:t>4.2. Собственники, руководящий персонал, работники предприятия </w:t>
      </w:r>
      <w:r w:rsidRPr="00A90DC4">
        <w:rPr>
          <w:rFonts w:ascii="Arial CYR" w:eastAsia="Times New Roman" w:hAnsi="Arial CYR" w:cs="Arial CYR"/>
          <w:color w:val="031E3B"/>
          <w:sz w:val="24"/>
          <w:szCs w:val="24"/>
          <w:lang w:eastAsia="ru-RU"/>
        </w:rPr>
        <w:br/>
        <w:t>4.3. Текущая деятельность </w:t>
      </w:r>
      <w:r w:rsidRPr="00A90DC4">
        <w:rPr>
          <w:rFonts w:ascii="Arial CYR" w:eastAsia="Times New Roman" w:hAnsi="Arial CYR" w:cs="Arial CYR"/>
          <w:color w:val="031E3B"/>
          <w:sz w:val="24"/>
          <w:szCs w:val="24"/>
          <w:lang w:eastAsia="ru-RU"/>
        </w:rPr>
        <w:br/>
        <w:t>4.4. Финансовое состояние </w:t>
      </w:r>
      <w:r w:rsidRPr="00A90DC4">
        <w:rPr>
          <w:rFonts w:ascii="Arial CYR" w:eastAsia="Times New Roman" w:hAnsi="Arial CYR" w:cs="Arial CYR"/>
          <w:color w:val="031E3B"/>
          <w:sz w:val="24"/>
          <w:szCs w:val="24"/>
          <w:lang w:eastAsia="ru-RU"/>
        </w:rPr>
        <w:br/>
        <w:t>4.5. Кредиты </w:t>
      </w:r>
      <w:r w:rsidRPr="00A90DC4">
        <w:rPr>
          <w:rFonts w:ascii="Arial CYR" w:eastAsia="Times New Roman" w:hAnsi="Arial CYR" w:cs="Arial CYR"/>
          <w:color w:val="031E3B"/>
          <w:sz w:val="24"/>
          <w:szCs w:val="24"/>
          <w:lang w:eastAsia="ru-RU"/>
        </w:rPr>
        <w:br/>
      </w:r>
      <w:r w:rsidRPr="00A90DC4">
        <w:rPr>
          <w:rFonts w:ascii="Arial CYR" w:eastAsia="Times New Roman" w:hAnsi="Arial CYR" w:cs="Arial CYR"/>
          <w:b/>
          <w:bCs/>
          <w:color w:val="031E3B"/>
          <w:sz w:val="24"/>
          <w:szCs w:val="24"/>
          <w:lang w:eastAsia="ru-RU"/>
        </w:rPr>
        <w:t>5. Проект </w:t>
      </w:r>
      <w:r w:rsidRPr="00A90DC4">
        <w:rPr>
          <w:rFonts w:ascii="Arial CYR" w:eastAsia="Times New Roman" w:hAnsi="Arial CYR" w:cs="Arial CYR"/>
          <w:color w:val="031E3B"/>
          <w:sz w:val="24"/>
          <w:szCs w:val="24"/>
          <w:lang w:eastAsia="ru-RU"/>
        </w:rPr>
        <w:br/>
        <w:t>5.1. Общая информация о проекте </w:t>
      </w:r>
      <w:r w:rsidRPr="00A90DC4">
        <w:rPr>
          <w:rFonts w:ascii="Arial CYR" w:eastAsia="Times New Roman" w:hAnsi="Arial CYR" w:cs="Arial CYR"/>
          <w:color w:val="031E3B"/>
          <w:sz w:val="24"/>
          <w:szCs w:val="24"/>
          <w:lang w:eastAsia="ru-RU"/>
        </w:rPr>
        <w:br/>
        <w:t>5.2. Инвестиционный план проекта </w:t>
      </w:r>
      <w:r w:rsidRPr="00A90DC4">
        <w:rPr>
          <w:rFonts w:ascii="Arial CYR" w:eastAsia="Times New Roman" w:hAnsi="Arial CYR" w:cs="Arial CYR"/>
          <w:color w:val="031E3B"/>
          <w:sz w:val="24"/>
          <w:szCs w:val="24"/>
          <w:lang w:eastAsia="ru-RU"/>
        </w:rPr>
        <w:br/>
        <w:t>5.3. Анализ рынка, конкурентоспособность </w:t>
      </w:r>
      <w:r w:rsidRPr="00A90DC4">
        <w:rPr>
          <w:rFonts w:ascii="Arial CYR" w:eastAsia="Times New Roman" w:hAnsi="Arial CYR" w:cs="Arial CYR"/>
          <w:color w:val="031E3B"/>
          <w:sz w:val="24"/>
          <w:szCs w:val="24"/>
          <w:lang w:eastAsia="ru-RU"/>
        </w:rPr>
        <w:br/>
        <w:t>5.4. Описание производственного процесса </w:t>
      </w:r>
      <w:r w:rsidRPr="00A90DC4">
        <w:rPr>
          <w:rFonts w:ascii="Arial CYR" w:eastAsia="Times New Roman" w:hAnsi="Arial CYR" w:cs="Arial CYR"/>
          <w:color w:val="031E3B"/>
          <w:sz w:val="24"/>
          <w:szCs w:val="24"/>
          <w:lang w:eastAsia="ru-RU"/>
        </w:rPr>
        <w:br/>
        <w:t>5.5. Финансовый план </w:t>
      </w:r>
      <w:r w:rsidRPr="00A90DC4">
        <w:rPr>
          <w:rFonts w:ascii="Arial CYR" w:eastAsia="Times New Roman" w:hAnsi="Arial CYR" w:cs="Arial CYR"/>
          <w:color w:val="031E3B"/>
          <w:sz w:val="24"/>
          <w:szCs w:val="24"/>
          <w:lang w:eastAsia="ru-RU"/>
        </w:rPr>
        <w:br/>
        <w:t>5.6. Экологическая оценка </w:t>
      </w:r>
      <w:r w:rsidRPr="00A90DC4">
        <w:rPr>
          <w:rFonts w:ascii="Arial CYR" w:eastAsia="Times New Roman" w:hAnsi="Arial CYR" w:cs="Arial CYR"/>
          <w:color w:val="031E3B"/>
          <w:sz w:val="24"/>
          <w:szCs w:val="24"/>
          <w:lang w:eastAsia="ru-RU"/>
        </w:rPr>
        <w:br/>
      </w:r>
      <w:r w:rsidRPr="00A90DC4">
        <w:rPr>
          <w:rFonts w:ascii="Arial CYR" w:eastAsia="Times New Roman" w:hAnsi="Arial CYR" w:cs="Arial CYR"/>
          <w:b/>
          <w:bCs/>
          <w:color w:val="031E3B"/>
          <w:sz w:val="24"/>
          <w:szCs w:val="24"/>
          <w:lang w:eastAsia="ru-RU"/>
        </w:rPr>
        <w:t>6. Финансирование </w:t>
      </w:r>
      <w:r w:rsidRPr="00A90DC4">
        <w:rPr>
          <w:rFonts w:ascii="Arial CYR" w:eastAsia="Times New Roman" w:hAnsi="Arial CYR" w:cs="Arial CYR"/>
          <w:color w:val="031E3B"/>
          <w:sz w:val="24"/>
          <w:szCs w:val="24"/>
          <w:lang w:eastAsia="ru-RU"/>
        </w:rPr>
        <w:br/>
        <w:t>6.1. Графики получения и погашения кредитных средств </w:t>
      </w:r>
      <w:r w:rsidRPr="00A90DC4">
        <w:rPr>
          <w:rFonts w:ascii="Arial CYR" w:eastAsia="Times New Roman" w:hAnsi="Arial CYR" w:cs="Arial CYR"/>
          <w:color w:val="031E3B"/>
          <w:sz w:val="24"/>
          <w:szCs w:val="24"/>
          <w:lang w:eastAsia="ru-RU"/>
        </w:rPr>
        <w:br/>
        <w:t>6.2. Залог и поручительство </w:t>
      </w:r>
      <w:r w:rsidRPr="00A90DC4">
        <w:rPr>
          <w:rFonts w:ascii="Arial CYR" w:eastAsia="Times New Roman" w:hAnsi="Arial CYR" w:cs="Arial CYR"/>
          <w:color w:val="031E3B"/>
          <w:sz w:val="24"/>
          <w:szCs w:val="24"/>
          <w:lang w:eastAsia="ru-RU"/>
        </w:rPr>
        <w:br/>
        <w:t>6.3. Оборудование и работы, которые будут финансироваться за счет кредитных средств </w:t>
      </w:r>
      <w:r w:rsidRPr="00A90DC4">
        <w:rPr>
          <w:rFonts w:ascii="Arial CYR" w:eastAsia="Times New Roman" w:hAnsi="Arial CYR" w:cs="Arial CYR"/>
          <w:color w:val="031E3B"/>
          <w:sz w:val="24"/>
          <w:szCs w:val="24"/>
          <w:lang w:eastAsia="ru-RU"/>
        </w:rPr>
        <w:br/>
        <w:t>6.4. SWOT - анализ </w:t>
      </w:r>
      <w:r w:rsidRPr="00A90DC4">
        <w:rPr>
          <w:rFonts w:ascii="Arial CYR" w:eastAsia="Times New Roman" w:hAnsi="Arial CYR" w:cs="Arial CYR"/>
          <w:color w:val="031E3B"/>
          <w:sz w:val="24"/>
          <w:szCs w:val="24"/>
          <w:lang w:eastAsia="ru-RU"/>
        </w:rPr>
        <w:br/>
        <w:t>6.5. Риски и мероприятия по их снижению </w:t>
      </w:r>
      <w:r w:rsidRPr="00A90DC4">
        <w:rPr>
          <w:rFonts w:ascii="Arial CYR" w:eastAsia="Times New Roman" w:hAnsi="Arial CYR" w:cs="Arial CYR"/>
          <w:color w:val="031E3B"/>
          <w:sz w:val="24"/>
          <w:szCs w:val="24"/>
          <w:lang w:eastAsia="ru-RU"/>
        </w:rPr>
        <w:br/>
      </w:r>
      <w:r w:rsidRPr="00A90DC4">
        <w:rPr>
          <w:rFonts w:ascii="Arial CYR" w:eastAsia="Times New Roman" w:hAnsi="Arial CYR" w:cs="Arial CYR"/>
          <w:b/>
          <w:bCs/>
          <w:color w:val="031E3B"/>
          <w:sz w:val="24"/>
          <w:szCs w:val="24"/>
          <w:lang w:eastAsia="ru-RU"/>
        </w:rPr>
        <w:t>7. Приложения</w:t>
      </w:r>
    </w:p>
    <w:p w:rsidR="00D41E07" w:rsidRDefault="00D41E07"/>
    <w:sectPr w:rsidR="00D41E07" w:rsidSect="00D41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90DC4"/>
    <w:rsid w:val="00131928"/>
    <w:rsid w:val="00175D38"/>
    <w:rsid w:val="00252274"/>
    <w:rsid w:val="002B77FB"/>
    <w:rsid w:val="00302AED"/>
    <w:rsid w:val="003138D0"/>
    <w:rsid w:val="003802D7"/>
    <w:rsid w:val="00395569"/>
    <w:rsid w:val="004807AF"/>
    <w:rsid w:val="005F0443"/>
    <w:rsid w:val="005F104A"/>
    <w:rsid w:val="00633E4F"/>
    <w:rsid w:val="00793909"/>
    <w:rsid w:val="008713F5"/>
    <w:rsid w:val="00A90DC4"/>
    <w:rsid w:val="00AA0EC4"/>
    <w:rsid w:val="00C6411B"/>
    <w:rsid w:val="00C74CD6"/>
    <w:rsid w:val="00D41E07"/>
    <w:rsid w:val="00EB1A5E"/>
    <w:rsid w:val="00F22A0E"/>
    <w:rsid w:val="00FA0A10"/>
    <w:rsid w:val="00FE0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0DC4"/>
    <w:rPr>
      <w:b/>
      <w:bCs/>
    </w:rPr>
  </w:style>
  <w:style w:type="character" w:customStyle="1" w:styleId="apple-converted-space">
    <w:name w:val="apple-converted-space"/>
    <w:basedOn w:val="a0"/>
    <w:rsid w:val="00A90D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1612</Characters>
  <Application>Microsoft Office Word</Application>
  <DocSecurity>0</DocSecurity>
  <Lines>13</Lines>
  <Paragraphs>3</Paragraphs>
  <ScaleCrop>false</ScaleCrop>
  <Company>Ya Blondinko Edition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IgasComp2</dc:creator>
  <cp:lastModifiedBy>IgasComp2</cp:lastModifiedBy>
  <cp:revision>1</cp:revision>
  <dcterms:created xsi:type="dcterms:W3CDTF">2012-10-09T10:56:00Z</dcterms:created>
  <dcterms:modified xsi:type="dcterms:W3CDTF">2012-10-09T10:57:00Z</dcterms:modified>
</cp:coreProperties>
</file>