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E7" w:rsidRPr="003E48E7" w:rsidRDefault="003E48E7" w:rsidP="003E48E7">
      <w:pPr>
        <w:spacing w:after="0" w:line="240" w:lineRule="auto"/>
        <w:jc w:val="center"/>
        <w:rPr>
          <w:rFonts w:ascii="Verdana" w:eastAsia="Times New Roman" w:hAnsi="Verdana" w:cs="Times New Roman"/>
          <w:color w:val="101010"/>
          <w:lang w:eastAsia="ru-RU"/>
        </w:rPr>
      </w:pPr>
      <w:r w:rsidRPr="003E48E7">
        <w:rPr>
          <w:rFonts w:ascii="Verdana" w:eastAsia="Times New Roman" w:hAnsi="Verdana" w:cs="Times New Roman"/>
          <w:b/>
          <w:bCs/>
          <w:color w:val="473C8B"/>
          <w:sz w:val="24"/>
          <w:szCs w:val="24"/>
          <w:lang w:eastAsia="ru-RU"/>
        </w:rPr>
        <w:t xml:space="preserve">Типовое содержание бизнес-плана согласно стандартам BFM </w:t>
      </w:r>
      <w:proofErr w:type="spellStart"/>
      <w:r w:rsidRPr="003E48E7">
        <w:rPr>
          <w:rFonts w:ascii="Verdana" w:eastAsia="Times New Roman" w:hAnsi="Verdana" w:cs="Times New Roman"/>
          <w:b/>
          <w:bCs/>
          <w:color w:val="473C8B"/>
          <w:sz w:val="24"/>
          <w:szCs w:val="24"/>
          <w:lang w:eastAsia="ru-RU"/>
        </w:rPr>
        <w:t>Group</w:t>
      </w:r>
      <w:proofErr w:type="spellEnd"/>
    </w:p>
    <w:p w:rsidR="00D41E07" w:rsidRDefault="003E48E7" w:rsidP="003E48E7">
      <w:r w:rsidRPr="003E48E7">
        <w:rPr>
          <w:rFonts w:ascii="Arial" w:eastAsia="Times New Roman" w:hAnsi="Arial" w:cs="Arial"/>
          <w:color w:val="101010"/>
          <w:lang w:eastAsia="ru-RU"/>
        </w:rPr>
        <w:br/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1. </w:t>
      </w:r>
      <w:hyperlink r:id="rId4" w:tgtFrame="_blank" w:history="1">
        <w:r w:rsidRPr="003E48E7">
          <w:rPr>
            <w:rFonts w:ascii="Arial" w:eastAsia="Times New Roman" w:hAnsi="Arial" w:cs="Arial"/>
            <w:b/>
            <w:bCs/>
            <w:color w:val="000000"/>
            <w:u w:val="single"/>
            <w:lang w:eastAsia="ru-RU"/>
          </w:rPr>
          <w:t>Меморандум о конфиденциальности 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br/>
        <w:t>2. </w:t>
      </w:r>
      <w:hyperlink r:id="rId5" w:tgtFrame="_blank" w:history="1">
        <w:r w:rsidRPr="003E48E7">
          <w:rPr>
            <w:rFonts w:ascii="Arial" w:eastAsia="Times New Roman" w:hAnsi="Arial" w:cs="Arial"/>
            <w:b/>
            <w:bCs/>
            <w:color w:val="000000"/>
            <w:u w:val="single"/>
            <w:lang w:eastAsia="ru-RU"/>
          </w:rPr>
          <w:t>Аннотация бизнес-плана 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br/>
        <w:t>3. </w:t>
      </w:r>
      <w:hyperlink r:id="rId6" w:tgtFrame="_blank" w:history="1">
        <w:r w:rsidRPr="003E48E7">
          <w:rPr>
            <w:rFonts w:ascii="Arial" w:eastAsia="Times New Roman" w:hAnsi="Arial" w:cs="Arial"/>
            <w:b/>
            <w:bCs/>
            <w:color w:val="000000"/>
            <w:u w:val="single"/>
            <w:lang w:eastAsia="ru-RU"/>
          </w:rPr>
          <w:t>Резюме бизнес-плана 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br/>
        <w:t>4. 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Компания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4.1. Общая информация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4.2. Характеристика продуктов и услуг компании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4.3. Инновации компании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5. 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Среда для бизнеса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5.1. </w:t>
      </w:r>
      <w:hyperlink r:id="rId7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PEST-анализ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5.2. </w:t>
      </w:r>
      <w:hyperlink r:id="rId8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Отраслевое окружение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5.3. Концепция бизнеса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5.4. Стратегия проекта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5.5. </w:t>
      </w:r>
      <w:hyperlink r:id="rId9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SWOT-анализ отрасли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6. 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Характеристика продукта бизнеса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6.1. </w:t>
      </w:r>
      <w:hyperlink r:id="rId10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Анализ цепочки создания стоимости (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Value</w:t>
        </w:r>
        <w:proofErr w:type="spell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Chain</w:t>
        </w:r>
        <w:proofErr w:type="spell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6.2. </w:t>
      </w:r>
      <w:hyperlink r:id="rId11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Матрица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Boston</w:t>
        </w:r>
        <w:proofErr w:type="spell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Consulting</w:t>
        </w:r>
        <w:proofErr w:type="spell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Group</w:t>
        </w:r>
        <w:proofErr w:type="spellEnd"/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7. 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Анализ рынков сбыта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7.1. Оценка размера рынка и возможных тенденций его развития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7.2. Оценка доли рынка и объема продаж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7.3. Сегментация рынка и определение ниши продукта бизнеса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8. 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Конкуренция и конкурентные преимущества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8.1. Сравнительные характеристики конкурентных продуктов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8.2. Сравнительные характеристики фирм-конкурентов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8.3. Анализ конкурентной ситуации на рынке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8.4. </w:t>
      </w:r>
      <w:hyperlink r:id="rId12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Анализ по схеме 4-5 Р.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8.5. </w:t>
      </w:r>
      <w:hyperlink r:id="rId13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SWOT-анализ компании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9. 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Организация внешнеэкономической деятельности фирмы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9.1. Организационное обеспечение внешнеэкономических связей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9.2. Экономическое обеспечение внешнеэкономических связей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9.3. Косвенные формы выхода на внешний рынок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10. 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Стратегия плана маркетинга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10.1. Общая стратегия маркетинга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10.2. Ценообразование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10.3. Тактика реализации продукта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10.4. Политика послепродажного обслуживания и предоставления гарантий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10.5. Реклама и продвижение товара на рынок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11. 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План продаж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11.1. </w:t>
      </w:r>
      <w:hyperlink r:id="rId14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Факторный анализ продаж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11.2. </w:t>
      </w:r>
      <w:hyperlink r:id="rId15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Точка безубыточности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12. 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План производства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12.1. </w:t>
      </w:r>
      <w:hyperlink r:id="rId16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Производственный цикл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12.2. Производственные мощности и их развитие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12.3. Стратегия в обеспечении и производственный план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12.4. Государственное и правовое регулирование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12.5. Возможности улучшения и доработки продукта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13. 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Организационный план и менеджмент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</w:r>
      <w:r w:rsidRPr="003E48E7">
        <w:rPr>
          <w:rFonts w:ascii="Arial" w:eastAsia="Times New Roman" w:hAnsi="Arial" w:cs="Arial"/>
          <w:color w:val="101010"/>
          <w:lang w:eastAsia="ru-RU"/>
        </w:rPr>
        <w:lastRenderedPageBreak/>
        <w:t>13.1. Штатное расписание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13.2. Организационная структура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13.3. Главные руководители фирмы (краткая биография)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13.4. Другие инвесторы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 xml:space="preserve">13.5. </w:t>
      </w:r>
      <w:proofErr w:type="spellStart"/>
      <w:proofErr w:type="gramStart"/>
      <w:r w:rsidRPr="003E48E7">
        <w:rPr>
          <w:rFonts w:ascii="Arial" w:eastAsia="Times New Roman" w:hAnsi="Arial" w:cs="Arial"/>
          <w:color w:val="101010"/>
          <w:lang w:eastAsia="ru-RU"/>
        </w:rPr>
        <w:t>Найм</w:t>
      </w:r>
      <w:proofErr w:type="spellEnd"/>
      <w:r w:rsidRPr="003E48E7">
        <w:rPr>
          <w:rFonts w:ascii="Arial" w:eastAsia="Times New Roman" w:hAnsi="Arial" w:cs="Arial"/>
          <w:color w:val="101010"/>
          <w:lang w:eastAsia="ru-RU"/>
        </w:rPr>
        <w:t xml:space="preserve"> и</w:t>
      </w:r>
      <w:proofErr w:type="gramEnd"/>
      <w:r w:rsidRPr="003E48E7">
        <w:rPr>
          <w:rFonts w:ascii="Arial" w:eastAsia="Times New Roman" w:hAnsi="Arial" w:cs="Arial"/>
          <w:color w:val="101010"/>
          <w:lang w:eastAsia="ru-RU"/>
        </w:rPr>
        <w:t xml:space="preserve"> система премирования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13.6. Профессиональные советники и услуги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14. 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Инвестиционный план, стратегия и источники финансирования инвестиционных затрат (</w:t>
      </w:r>
      <w:proofErr w:type="spellStart"/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Gantt</w:t>
      </w:r>
      <w:proofErr w:type="spellEnd"/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 xml:space="preserve"> </w:t>
      </w:r>
      <w:proofErr w:type="spellStart"/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chart</w:t>
      </w:r>
      <w:proofErr w:type="spellEnd"/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Финансовый план</w:t>
      </w:r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 Потребность в финансировании (подбор суммы кредита (инвестиции) и графика финансирования)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15.2. Выплаты на погашение займов (выплаты кредитного тела)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15.3. Выплаты на обслуживание займов (проценты по кредитам)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15.4. </w:t>
      </w:r>
      <w:hyperlink r:id="rId17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Отчет о прибылях – убытках (помесячно до конца проекта)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15.5. </w:t>
      </w:r>
      <w:hyperlink r:id="rId18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Отчет о движении денежных потоков (помесячно до конца проекта)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15.6. </w:t>
      </w:r>
      <w:hyperlink r:id="rId19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Баланс проекта (помесячно до конца проекта)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15.7. Доходы подразделений и участников проекта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15.8. Финансовые показатели (помесячно до конца проекта)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0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текущей ликвидности (CR),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1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срочной ликвидности (QR),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2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Чистый оборотный капитал (NWC)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3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оборачиваемости запасов (ST)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4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Коэффициент оборачиваемости дебиторской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задолж</w:t>
        </w:r>
        <w:proofErr w:type="spell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. </w:t>
        </w:r>
        <w:proofErr w:type="gram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(CP)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5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оборачиваемости рабочего капитала (NCT)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6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оборачиваемости основных средств (FAT)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7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оборачиваемости активов (TAT)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8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Суммарные обязательства к активам (TD/TA),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29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Суммарные обязательства к собственному капиталу (TD/EQ),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30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покрытия процентов (TIE)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31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рентабельности валовой прибыли (GPM),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32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рентабельности операционной прибыли (OPM),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33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Коэффициент рентабельности чистой прибыли (NPM),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34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Рентабельность оборотных активов (RCA),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35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Рентабельность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внеоборотных</w:t>
        </w:r>
        <w:proofErr w:type="spell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активов (RFA),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36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Рентабельность инвестиций (ROI),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37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Рентабельность собственного</w:t>
        </w:r>
        <w:proofErr w:type="gram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капитала (ROE), %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15.9. Использование прибыли (помесячно до конца проекта)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15.10. </w:t>
      </w:r>
      <w:hyperlink r:id="rId38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Анализ чувствительности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proofErr w:type="gramStart"/>
      <w:r w:rsidRPr="003E48E7">
        <w:rPr>
          <w:rFonts w:ascii="Arial" w:eastAsia="Times New Roman" w:hAnsi="Arial" w:cs="Arial"/>
          <w:color w:val="101010"/>
          <w:lang w:eastAsia="ru-RU"/>
        </w:rPr>
        <w:t>по</w:t>
      </w:r>
      <w:proofErr w:type="gramEnd"/>
      <w:r w:rsidRPr="003E48E7">
        <w:rPr>
          <w:rFonts w:ascii="Arial" w:eastAsia="Times New Roman" w:hAnsi="Arial" w:cs="Arial"/>
          <w:color w:val="101010"/>
          <w:lang w:eastAsia="ru-RU"/>
        </w:rPr>
        <w:t>: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 NPV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 DPB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 PI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 IRR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 PB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 ARR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 MIRR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 D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15.11. </w:t>
      </w:r>
      <w:hyperlink r:id="rId39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Статистический анализ проекта по методу Монте-Карло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15.12. </w:t>
      </w:r>
      <w:hyperlink r:id="rId40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Объем продаж (помесячно до конца проекта)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15.13. </w:t>
      </w:r>
      <w:hyperlink r:id="rId41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Поступления от продаж (помесячно до конца проекта)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15.14. Налоговые выплаты (помесячно до конца проекта)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</w:r>
      <w:r w:rsidRPr="003E48E7">
        <w:rPr>
          <w:rFonts w:ascii="Arial" w:eastAsia="Times New Roman" w:hAnsi="Arial" w:cs="Arial"/>
          <w:color w:val="101010"/>
          <w:lang w:eastAsia="ru-RU"/>
        </w:rPr>
        <w:lastRenderedPageBreak/>
        <w:t>15.15. Общие издержки (помесячно до конца проекта)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15.16. </w:t>
      </w:r>
      <w:hyperlink r:id="rId42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Переменные издержки на продукт (каждый в отдельности)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15.17. Запасы готовой продукции (помесячно до конца проекта)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 xml:space="preserve">15.18. Запасы сырья и </w:t>
      </w:r>
      <w:proofErr w:type="gramStart"/>
      <w:r w:rsidRPr="003E48E7">
        <w:rPr>
          <w:rFonts w:ascii="Arial" w:eastAsia="Times New Roman" w:hAnsi="Arial" w:cs="Arial"/>
          <w:color w:val="101010"/>
          <w:lang w:eastAsia="ru-RU"/>
        </w:rPr>
        <w:t>комплектующих</w:t>
      </w:r>
      <w:proofErr w:type="gramEnd"/>
      <w:r w:rsidRPr="003E48E7">
        <w:rPr>
          <w:rFonts w:ascii="Arial" w:eastAsia="Times New Roman" w:hAnsi="Arial" w:cs="Arial"/>
          <w:color w:val="101010"/>
          <w:lang w:eastAsia="ru-RU"/>
        </w:rPr>
        <w:t xml:space="preserve"> (помесячно до конца проекта)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15.19. Инвестиционные затраты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15.20. Амортизация по активам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15.21. </w:t>
      </w:r>
      <w:hyperlink r:id="rId43" w:tgtFrame="_blank" w:history="1">
        <w:proofErr w:type="gram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Операционный</w:t>
        </w:r>
        <w:proofErr w:type="gram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леверидж</w:t>
        </w:r>
        <w:proofErr w:type="spell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(отношение постоянных издержек к переменным)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15.22. </w:t>
      </w:r>
      <w:hyperlink r:id="rId44" w:tgtFrame="_blank" w:history="1">
        <w:proofErr w:type="gram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Финансовый</w:t>
        </w:r>
        <w:proofErr w:type="gram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леверидж</w:t>
        </w:r>
        <w:proofErr w:type="spellEnd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 (отношение собственного капитала к заемному)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15.23. 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Общая эффективность проекта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45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Период окупаемости (PB)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46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Дисконтированный период окупаемости (DPB)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47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Чистый приведенный доход (NPV)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48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Индекс прибыльности (PI)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49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Внутренняя норма рентабельности (IRR)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50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Модифицированная внутренняя норма рентабельности (MIRR)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51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Средняя норма рентабельности ARR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- </w:t>
      </w:r>
      <w:hyperlink r:id="rId52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Длительность (D)</w:t>
        </w:r>
      </w:hyperlink>
      <w:r w:rsidRPr="003E48E7">
        <w:rPr>
          <w:rFonts w:ascii="Arial" w:eastAsia="Times New Roman" w:hAnsi="Arial" w:cs="Arial"/>
          <w:color w:val="101010"/>
          <w:lang w:eastAsia="ru-RU"/>
        </w:rPr>
        <w:t>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16. </w:t>
      </w:r>
      <w:r w:rsidRPr="003E48E7">
        <w:rPr>
          <w:rFonts w:ascii="Arial" w:eastAsia="Times New Roman" w:hAnsi="Arial" w:cs="Arial"/>
          <w:b/>
          <w:bCs/>
          <w:color w:val="101010"/>
          <w:lang w:eastAsia="ru-RU"/>
        </w:rPr>
        <w:t>Приложения к бизнес-плану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16.1. Финансовые отчеты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16.2. Аудиторские заключения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16.3. Заключения специалистов по оценке имущества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16.4. Рекламные брошюры фирмы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16.5. Технические описания продукта бизнеса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16.6. Резюме ключевых руководителей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16.7. Важнейшие соглашения и контракты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16.8. Информация о производственном процессе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16.9. Фотографии и рисунки товара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16.10. Отчеты об исследованиях рынка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16.11. Выдержки из важнейших законодательных актов </w:t>
      </w:r>
      <w:r w:rsidRPr="003E48E7">
        <w:rPr>
          <w:rFonts w:ascii="Arial" w:eastAsia="Times New Roman" w:hAnsi="Arial" w:cs="Arial"/>
          <w:color w:val="101010"/>
          <w:lang w:eastAsia="ru-RU"/>
        </w:rPr>
        <w:br/>
      </w:r>
      <w:r w:rsidRPr="003E48E7">
        <w:rPr>
          <w:rFonts w:ascii="Arial" w:eastAsia="Times New Roman" w:hAnsi="Arial" w:cs="Arial"/>
          <w:color w:val="101010"/>
          <w:lang w:eastAsia="ru-RU"/>
        </w:rPr>
        <w:br/>
      </w:r>
      <w:r w:rsidRPr="003E48E7">
        <w:rPr>
          <w:rFonts w:ascii="Arial" w:eastAsia="Times New Roman" w:hAnsi="Arial" w:cs="Arial"/>
          <w:color w:val="101010"/>
          <w:lang w:eastAsia="ru-RU"/>
        </w:rPr>
        <w:br/>
        <w:t>Приведенное содержание бизнес-плана (с сохранением глав, пунктов и данной (или близкой к данной) последовательности) - является разработкой </w:t>
      </w:r>
      <w:hyperlink r:id="rId53" w:tgtFrame="_blank" w:history="1"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 xml:space="preserve">BFM </w:t>
        </w:r>
        <w:proofErr w:type="spellStart"/>
        <w:r w:rsidRPr="003E48E7">
          <w:rPr>
            <w:rFonts w:ascii="Arial" w:eastAsia="Times New Roman" w:hAnsi="Arial" w:cs="Arial"/>
            <w:color w:val="000000"/>
            <w:u w:val="single"/>
            <w:lang w:eastAsia="ru-RU"/>
          </w:rPr>
          <w:t>Group</w:t>
        </w:r>
        <w:proofErr w:type="spellEnd"/>
      </w:hyperlink>
      <w:r w:rsidRPr="003E48E7">
        <w:rPr>
          <w:rFonts w:ascii="Arial" w:eastAsia="Times New Roman" w:hAnsi="Arial" w:cs="Arial"/>
          <w:color w:val="101010"/>
          <w:lang w:eastAsia="ru-RU"/>
        </w:rPr>
        <w:t xml:space="preserve">. Любое использование (полное или частичное) либо цитирование на других ресурсах данного текста (а также выдержек из него) допускается исключительно </w:t>
      </w:r>
      <w:proofErr w:type="gramStart"/>
      <w:r w:rsidRPr="003E48E7">
        <w:rPr>
          <w:rFonts w:ascii="Arial" w:eastAsia="Times New Roman" w:hAnsi="Arial" w:cs="Arial"/>
          <w:color w:val="101010"/>
          <w:lang w:eastAsia="ru-RU"/>
        </w:rPr>
        <w:t>с</w:t>
      </w:r>
      <w:proofErr w:type="gramEnd"/>
      <w:r w:rsidRPr="003E48E7">
        <w:rPr>
          <w:rFonts w:ascii="Arial" w:eastAsia="Times New Roman" w:hAnsi="Arial" w:cs="Arial"/>
          <w:color w:val="101010"/>
          <w:lang w:eastAsia="ru-RU"/>
        </w:rPr>
        <w:t xml:space="preserve"> ссылкой на первоисточник</w:t>
      </w:r>
    </w:p>
    <w:sectPr w:rsidR="00D41E07" w:rsidSect="00D4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48E7"/>
    <w:rsid w:val="00131928"/>
    <w:rsid w:val="00175D38"/>
    <w:rsid w:val="00252274"/>
    <w:rsid w:val="002B77FB"/>
    <w:rsid w:val="00302AED"/>
    <w:rsid w:val="003138D0"/>
    <w:rsid w:val="003802D7"/>
    <w:rsid w:val="00395569"/>
    <w:rsid w:val="003E48E7"/>
    <w:rsid w:val="004807AF"/>
    <w:rsid w:val="005F0443"/>
    <w:rsid w:val="005F104A"/>
    <w:rsid w:val="00633E4F"/>
    <w:rsid w:val="00793909"/>
    <w:rsid w:val="00830520"/>
    <w:rsid w:val="008713F5"/>
    <w:rsid w:val="00AA0EC4"/>
    <w:rsid w:val="00C6411B"/>
    <w:rsid w:val="00C74CD6"/>
    <w:rsid w:val="00D41E07"/>
    <w:rsid w:val="00EB1A5E"/>
    <w:rsid w:val="00F22A0E"/>
    <w:rsid w:val="00FA0A10"/>
    <w:rsid w:val="00FE0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48E7"/>
  </w:style>
  <w:style w:type="character" w:styleId="a3">
    <w:name w:val="Hyperlink"/>
    <w:basedOn w:val="a0"/>
    <w:uiPriority w:val="99"/>
    <w:semiHidden/>
    <w:unhideWhenUsed/>
    <w:rsid w:val="003E48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fm-ua.com/index/0-201" TargetMode="External"/><Relationship Id="rId18" Type="http://schemas.openxmlformats.org/officeDocument/2006/relationships/hyperlink" Target="http://www.bfm-ua.com/index/0-212" TargetMode="External"/><Relationship Id="rId26" Type="http://schemas.openxmlformats.org/officeDocument/2006/relationships/hyperlink" Target="http://www.bfm-ua.com/index/0-220" TargetMode="External"/><Relationship Id="rId39" Type="http://schemas.openxmlformats.org/officeDocument/2006/relationships/hyperlink" Target="http://www.bfm-ua.com/index/0-238" TargetMode="External"/><Relationship Id="rId21" Type="http://schemas.openxmlformats.org/officeDocument/2006/relationships/hyperlink" Target="http://www.bfm-ua.com/index/0-215" TargetMode="External"/><Relationship Id="rId34" Type="http://schemas.openxmlformats.org/officeDocument/2006/relationships/hyperlink" Target="http://www.bfm-ua.com/index/0-228" TargetMode="External"/><Relationship Id="rId42" Type="http://schemas.openxmlformats.org/officeDocument/2006/relationships/hyperlink" Target="http://www.bfm-ua.com/index/0-240" TargetMode="External"/><Relationship Id="rId47" Type="http://schemas.openxmlformats.org/officeDocument/2006/relationships/hyperlink" Target="http://www.bfm-ua.com/index/0-261" TargetMode="External"/><Relationship Id="rId50" Type="http://schemas.openxmlformats.org/officeDocument/2006/relationships/hyperlink" Target="http://www.bfm-ua.com/index/0-26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bfm-ua.com/index/0-200" TargetMode="External"/><Relationship Id="rId12" Type="http://schemas.openxmlformats.org/officeDocument/2006/relationships/hyperlink" Target="http://www.bfm-ua.com/index/0-202" TargetMode="External"/><Relationship Id="rId17" Type="http://schemas.openxmlformats.org/officeDocument/2006/relationships/hyperlink" Target="http://www.bfm-ua.com/index/0-211" TargetMode="External"/><Relationship Id="rId25" Type="http://schemas.openxmlformats.org/officeDocument/2006/relationships/hyperlink" Target="http://www.bfm-ua.com/index/0-219" TargetMode="External"/><Relationship Id="rId33" Type="http://schemas.openxmlformats.org/officeDocument/2006/relationships/hyperlink" Target="http://www.bfm-ua.com/index/0-226" TargetMode="External"/><Relationship Id="rId38" Type="http://schemas.openxmlformats.org/officeDocument/2006/relationships/hyperlink" Target="http://www.bfm-ua.com/index/0-232" TargetMode="External"/><Relationship Id="rId46" Type="http://schemas.openxmlformats.org/officeDocument/2006/relationships/hyperlink" Target="http://www.bfm-ua.com/index/0-2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fm-ua.com/index/0-210" TargetMode="External"/><Relationship Id="rId20" Type="http://schemas.openxmlformats.org/officeDocument/2006/relationships/hyperlink" Target="http://www.bfm-ua.com/index/0-214" TargetMode="External"/><Relationship Id="rId29" Type="http://schemas.openxmlformats.org/officeDocument/2006/relationships/hyperlink" Target="http://www.bfm-ua.com/index/0-223" TargetMode="External"/><Relationship Id="rId41" Type="http://schemas.openxmlformats.org/officeDocument/2006/relationships/hyperlink" Target="http://www.bfm-ua.com/index/0-239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fm-ua.com/index/0-209" TargetMode="External"/><Relationship Id="rId11" Type="http://schemas.openxmlformats.org/officeDocument/2006/relationships/hyperlink" Target="http://www.bfm-ua.com/index/0-206" TargetMode="External"/><Relationship Id="rId24" Type="http://schemas.openxmlformats.org/officeDocument/2006/relationships/hyperlink" Target="http://www.bfm-ua.com/index/0-218" TargetMode="External"/><Relationship Id="rId32" Type="http://schemas.openxmlformats.org/officeDocument/2006/relationships/hyperlink" Target="http://www.bfm-ua.com/index/0-227" TargetMode="External"/><Relationship Id="rId37" Type="http://schemas.openxmlformats.org/officeDocument/2006/relationships/hyperlink" Target="http://www.bfm-ua.com/index/0-231" TargetMode="External"/><Relationship Id="rId40" Type="http://schemas.openxmlformats.org/officeDocument/2006/relationships/hyperlink" Target="http://www.bfm-ua.com/index/0-239" TargetMode="External"/><Relationship Id="rId45" Type="http://schemas.openxmlformats.org/officeDocument/2006/relationships/hyperlink" Target="http://www.bfm-ua.com/index/0-258" TargetMode="External"/><Relationship Id="rId53" Type="http://schemas.openxmlformats.org/officeDocument/2006/relationships/hyperlink" Target="http://www.bfm-ua.com/" TargetMode="External"/><Relationship Id="rId5" Type="http://schemas.openxmlformats.org/officeDocument/2006/relationships/hyperlink" Target="http://www.bfm-ua.com/index/0-205" TargetMode="External"/><Relationship Id="rId15" Type="http://schemas.openxmlformats.org/officeDocument/2006/relationships/hyperlink" Target="http://www.bfm-ua.com/index/0-197" TargetMode="External"/><Relationship Id="rId23" Type="http://schemas.openxmlformats.org/officeDocument/2006/relationships/hyperlink" Target="http://www.bfm-ua.com/index/0-217" TargetMode="External"/><Relationship Id="rId28" Type="http://schemas.openxmlformats.org/officeDocument/2006/relationships/hyperlink" Target="http://www.bfm-ua.com/index/0-222" TargetMode="External"/><Relationship Id="rId36" Type="http://schemas.openxmlformats.org/officeDocument/2006/relationships/hyperlink" Target="http://www.bfm-ua.com/index/0-230" TargetMode="External"/><Relationship Id="rId49" Type="http://schemas.openxmlformats.org/officeDocument/2006/relationships/hyperlink" Target="http://www.bfm-ua.com/index/0-262" TargetMode="External"/><Relationship Id="rId10" Type="http://schemas.openxmlformats.org/officeDocument/2006/relationships/hyperlink" Target="http://www.bfm-ua.com/index/0-204" TargetMode="External"/><Relationship Id="rId19" Type="http://schemas.openxmlformats.org/officeDocument/2006/relationships/hyperlink" Target="http://www.bfm-ua.com/index/0-213" TargetMode="External"/><Relationship Id="rId31" Type="http://schemas.openxmlformats.org/officeDocument/2006/relationships/hyperlink" Target="http://www.bfm-ua.com/index/0-225" TargetMode="External"/><Relationship Id="rId44" Type="http://schemas.openxmlformats.org/officeDocument/2006/relationships/hyperlink" Target="http://www.bfm-ua.com/index/0-267" TargetMode="External"/><Relationship Id="rId52" Type="http://schemas.openxmlformats.org/officeDocument/2006/relationships/hyperlink" Target="http://www.bfm-ua.com/index/0-266" TargetMode="External"/><Relationship Id="rId4" Type="http://schemas.openxmlformats.org/officeDocument/2006/relationships/hyperlink" Target="http://www.bfm-ua.com/index/0-207" TargetMode="External"/><Relationship Id="rId9" Type="http://schemas.openxmlformats.org/officeDocument/2006/relationships/hyperlink" Target="http://www.bfm-ua.com/index/0-201" TargetMode="External"/><Relationship Id="rId14" Type="http://schemas.openxmlformats.org/officeDocument/2006/relationships/hyperlink" Target="http://www.bfm-ua.com/index/0-196" TargetMode="External"/><Relationship Id="rId22" Type="http://schemas.openxmlformats.org/officeDocument/2006/relationships/hyperlink" Target="http://www.bfm-ua.com/index/0-216" TargetMode="External"/><Relationship Id="rId27" Type="http://schemas.openxmlformats.org/officeDocument/2006/relationships/hyperlink" Target="http://www.bfm-ua.com/index/0-221" TargetMode="External"/><Relationship Id="rId30" Type="http://schemas.openxmlformats.org/officeDocument/2006/relationships/hyperlink" Target="http://www.bfm-ua.com/index/0-224" TargetMode="External"/><Relationship Id="rId35" Type="http://schemas.openxmlformats.org/officeDocument/2006/relationships/hyperlink" Target="http://www.bfm-ua.com/index/0-229" TargetMode="External"/><Relationship Id="rId43" Type="http://schemas.openxmlformats.org/officeDocument/2006/relationships/hyperlink" Target="http://www.bfm-ua.com/index/0-268" TargetMode="External"/><Relationship Id="rId48" Type="http://schemas.openxmlformats.org/officeDocument/2006/relationships/hyperlink" Target="http://www.bfm-ua.com/index/0-265" TargetMode="External"/><Relationship Id="rId8" Type="http://schemas.openxmlformats.org/officeDocument/2006/relationships/hyperlink" Target="http://www.bfm-ua.com/index/0-208" TargetMode="External"/><Relationship Id="rId51" Type="http://schemas.openxmlformats.org/officeDocument/2006/relationships/hyperlink" Target="http://www.bfm-ua.com/index/0-26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7266</Characters>
  <Application>Microsoft Office Word</Application>
  <DocSecurity>0</DocSecurity>
  <Lines>60</Lines>
  <Paragraphs>17</Paragraphs>
  <ScaleCrop>false</ScaleCrop>
  <Company>Ya Blondinko Edition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IgasComp2</dc:creator>
  <cp:lastModifiedBy>IgasComp2</cp:lastModifiedBy>
  <cp:revision>1</cp:revision>
  <dcterms:created xsi:type="dcterms:W3CDTF">2012-10-09T10:59:00Z</dcterms:created>
  <dcterms:modified xsi:type="dcterms:W3CDTF">2012-10-09T11:00:00Z</dcterms:modified>
</cp:coreProperties>
</file>